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Realizacja Decyzji PINB oraz PSP – Etap I</w:t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single"/>
          <w:em w:val="none"/>
          <w:lang w:val="pl-PL" w:bidi="ar-SA"/>
        </w:rPr>
        <w:t>(Naprawa stropu w mieszkaniu przy ul. Matejki 14/9 w Siemianowicach Śląskich)</w:t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do 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 xml:space="preserve"> miesiące od daty podpisania</w:t>
      </w:r>
      <w:r>
        <w:rPr>
          <w:rFonts w:cs="Calibri"/>
          <w:b/>
          <w:bCs/>
          <w:sz w:val="24"/>
          <w:szCs w:val="24"/>
          <w:shd w:fill="auto" w:val="clear"/>
        </w:rPr>
        <w:t xml:space="preserve"> umowy.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LibreOffice/6.4.4.2$Windows_X86_64 LibreOffice_project/3d775be2011f3886db32dfd395a6a6d1ca2630ff</Application>
  <Pages>3</Pages>
  <Words>487</Words>
  <Characters>3672</Characters>
  <CharactersWithSpaces>4322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2022-02-21T10:01:20Z</cp:lastPrinted>
  <dcterms:modified xsi:type="dcterms:W3CDTF">2022-02-22T07:22:14Z</dcterms:modified>
  <cp:revision>214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